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DEE" w:rsidRPr="00FE2DEE" w:rsidRDefault="00FE2DEE" w:rsidP="00FE2DEE">
      <w:pPr>
        <w:widowControl/>
        <w:spacing w:line="495" w:lineRule="atLeast"/>
        <w:jc w:val="center"/>
        <w:rPr>
          <w:rFonts w:ascii="宋体" w:hAnsi="宋体" w:cs="宋体"/>
          <w:b/>
          <w:bCs/>
          <w:color w:val="333333"/>
          <w:kern w:val="0"/>
          <w:sz w:val="30"/>
          <w:szCs w:val="30"/>
        </w:rPr>
      </w:pPr>
      <w:r w:rsidRPr="00FE2DEE">
        <w:rPr>
          <w:rFonts w:ascii="宋体" w:hAnsi="宋体" w:cs="宋体" w:hint="eastAsia"/>
          <w:b/>
          <w:bCs/>
          <w:color w:val="333333"/>
          <w:kern w:val="0"/>
          <w:sz w:val="30"/>
          <w:szCs w:val="30"/>
        </w:rPr>
        <w:t>  </w:t>
      </w:r>
      <w:r w:rsidRPr="00FE2DEE">
        <w:rPr>
          <w:rFonts w:ascii="宋体" w:hAnsi="宋体" w:cs="宋体" w:hint="eastAsia"/>
          <w:b/>
          <w:bCs/>
          <w:color w:val="FF0000"/>
          <w:kern w:val="0"/>
          <w:sz w:val="30"/>
          <w:szCs w:val="30"/>
        </w:rPr>
        <w:t>关于吉林省社会科学基金项目2016年度申报工作的通知</w:t>
      </w:r>
    </w:p>
    <w:p w:rsidR="00FE2DEE" w:rsidRPr="00FE2DEE" w:rsidRDefault="00FE2DEE" w:rsidP="00FE2DEE">
      <w:pPr>
        <w:widowControl/>
        <w:spacing w:line="390" w:lineRule="atLeast"/>
        <w:jc w:val="center"/>
        <w:rPr>
          <w:rFonts w:ascii="宋体" w:hAnsi="宋体" w:cs="宋体" w:hint="eastAsia"/>
          <w:color w:val="101010"/>
          <w:kern w:val="0"/>
          <w:sz w:val="20"/>
          <w:szCs w:val="20"/>
        </w:rPr>
      </w:pPr>
      <w:r w:rsidRPr="00FE2DEE">
        <w:rPr>
          <w:rFonts w:ascii="宋体" w:hAnsi="宋体" w:cs="宋体" w:hint="eastAsia"/>
          <w:color w:val="101010"/>
          <w:kern w:val="0"/>
          <w:sz w:val="20"/>
          <w:szCs w:val="20"/>
        </w:rPr>
        <w:t>[来源：吉林省哲学社会科学规划基金办公室 - 日期：2015年12月24日 - 浏览</w:t>
      </w:r>
      <w:r w:rsidRPr="00FE2DEE">
        <w:rPr>
          <w:rFonts w:ascii="宋体" w:hAnsi="宋体" w:cs="宋体" w:hint="eastAsia"/>
          <w:color w:val="FF0000"/>
          <w:kern w:val="0"/>
          <w:sz w:val="20"/>
          <w:szCs w:val="20"/>
        </w:rPr>
        <w:t> 135</w:t>
      </w:r>
      <w:r w:rsidRPr="00FE2DEE">
        <w:rPr>
          <w:rFonts w:ascii="宋体" w:hAnsi="宋体" w:cs="宋体" w:hint="eastAsia"/>
          <w:color w:val="101010"/>
          <w:kern w:val="0"/>
          <w:sz w:val="20"/>
          <w:szCs w:val="20"/>
        </w:rPr>
        <w:t> 次] [</w:t>
      </w:r>
      <w:hyperlink r:id="rId7" w:tgtFrame="_blank" w:history="1">
        <w:r w:rsidRPr="00FE2DEE">
          <w:rPr>
            <w:rFonts w:ascii="宋体" w:hAnsi="宋体" w:cs="宋体" w:hint="eastAsia"/>
            <w:color w:val="333333"/>
            <w:kern w:val="0"/>
            <w:sz w:val="20"/>
            <w:szCs w:val="20"/>
          </w:rPr>
          <w:t>打印</w:t>
        </w:r>
      </w:hyperlink>
      <w:r w:rsidRPr="00FE2DEE">
        <w:rPr>
          <w:rFonts w:ascii="宋体" w:hAnsi="宋体" w:cs="宋体" w:hint="eastAsia"/>
          <w:color w:val="101010"/>
          <w:kern w:val="0"/>
          <w:sz w:val="20"/>
          <w:szCs w:val="20"/>
        </w:rPr>
        <w:t>]</w:t>
      </w:r>
      <w:r w:rsidRPr="00FE2DEE">
        <w:rPr>
          <w:rFonts w:ascii="宋体" w:hAnsi="宋体" w:cs="宋体" w:hint="eastAsia"/>
          <w:color w:val="101010"/>
          <w:kern w:val="0"/>
          <w:sz w:val="20"/>
          <w:szCs w:val="20"/>
        </w:rPr>
        <w:br/>
        <w:t>本</w:t>
      </w:r>
      <w:proofErr w:type="gramStart"/>
      <w:r w:rsidRPr="00FE2DEE">
        <w:rPr>
          <w:rFonts w:ascii="宋体" w:hAnsi="宋体" w:cs="宋体" w:hint="eastAsia"/>
          <w:color w:val="101010"/>
          <w:kern w:val="0"/>
          <w:sz w:val="20"/>
          <w:szCs w:val="20"/>
        </w:rPr>
        <w:t>站文章</w:t>
      </w:r>
      <w:proofErr w:type="gramEnd"/>
      <w:r w:rsidRPr="00FE2DEE">
        <w:rPr>
          <w:rFonts w:ascii="宋体" w:hAnsi="宋体" w:cs="宋体" w:hint="eastAsia"/>
          <w:color w:val="101010"/>
          <w:kern w:val="0"/>
          <w:sz w:val="20"/>
          <w:szCs w:val="20"/>
        </w:rPr>
        <w:t>禁止转载，需要转载请联系本站。</w:t>
      </w:r>
    </w:p>
    <w:tbl>
      <w:tblPr>
        <w:tblW w:w="5000" w:type="pct"/>
        <w:tblCellMar>
          <w:left w:w="0" w:type="dxa"/>
          <w:right w:w="0" w:type="dxa"/>
        </w:tblCellMar>
        <w:tblLook w:val="04A0" w:firstRow="1" w:lastRow="0" w:firstColumn="1" w:lastColumn="0" w:noHBand="0" w:noVBand="1"/>
      </w:tblPr>
      <w:tblGrid>
        <w:gridCol w:w="8306"/>
      </w:tblGrid>
      <w:tr w:rsidR="00FE2DEE" w:rsidRPr="00FE2DEE" w:rsidTr="00FE2DEE">
        <w:tc>
          <w:tcPr>
            <w:tcW w:w="0" w:type="auto"/>
            <w:vAlign w:val="center"/>
            <w:hideMark/>
          </w:tcPr>
          <w:p w:rsidR="00FE2DEE" w:rsidRPr="00FE2DEE" w:rsidRDefault="00FE2DEE" w:rsidP="00FE2DEE">
            <w:pPr>
              <w:widowControl/>
              <w:jc w:val="center"/>
              <w:rPr>
                <w:rFonts w:ascii="宋体" w:hAnsi="宋体" w:cs="宋体"/>
                <w:color w:val="101010"/>
                <w:kern w:val="0"/>
                <w:sz w:val="20"/>
                <w:szCs w:val="20"/>
              </w:rPr>
            </w:pPr>
            <w:r>
              <w:rPr>
                <w:rFonts w:ascii="宋体" w:hAnsi="宋体" w:cs="宋体"/>
                <w:noProof/>
                <w:color w:val="101010"/>
                <w:kern w:val="0"/>
                <w:sz w:val="20"/>
                <w:szCs w:val="20"/>
              </w:rPr>
              <w:drawing>
                <wp:inline distT="0" distB="0" distL="0" distR="0">
                  <wp:extent cx="4763135" cy="402590"/>
                  <wp:effectExtent l="0" t="0" r="0" b="0"/>
                  <wp:docPr id="1" name="图片 1" descr="http://www.jlpopss.gov.cn/images/wujiaox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lpopss.gov.cn/images/wujiaoxing.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3135" cy="402590"/>
                          </a:xfrm>
                          <a:prstGeom prst="rect">
                            <a:avLst/>
                          </a:prstGeom>
                          <a:noFill/>
                          <a:ln>
                            <a:noFill/>
                          </a:ln>
                        </pic:spPr>
                      </pic:pic>
                    </a:graphicData>
                  </a:graphic>
                </wp:inline>
              </w:drawing>
            </w:r>
          </w:p>
        </w:tc>
      </w:tr>
    </w:tbl>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center"/>
        <w:rPr>
          <w:rFonts w:ascii="宋体" w:hAnsi="宋体" w:cs="宋体" w:hint="eastAsia"/>
          <w:color w:val="101010"/>
          <w:kern w:val="0"/>
          <w:szCs w:val="21"/>
        </w:rPr>
      </w:pPr>
      <w:r w:rsidRPr="00FE2DEE">
        <w:rPr>
          <w:rFonts w:ascii="宋体" w:hAnsi="宋体" w:cs="宋体" w:hint="eastAsia"/>
          <w:b/>
          <w:bCs/>
          <w:color w:val="FF0000"/>
          <w:kern w:val="0"/>
          <w:sz w:val="27"/>
          <w:szCs w:val="27"/>
        </w:rPr>
        <w:t>吉林省哲学社会科学规划基金办公室</w:t>
      </w:r>
    </w:p>
    <w:p w:rsidR="00FE2DEE" w:rsidRPr="00FE2DEE" w:rsidRDefault="00FE2DEE" w:rsidP="00FE2DEE">
      <w:pPr>
        <w:widowControl/>
        <w:spacing w:line="330" w:lineRule="atLeast"/>
        <w:jc w:val="center"/>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center"/>
        <w:rPr>
          <w:rFonts w:ascii="宋体" w:hAnsi="宋体" w:cs="宋体" w:hint="eastAsia"/>
          <w:color w:val="101010"/>
          <w:kern w:val="0"/>
          <w:szCs w:val="21"/>
        </w:rPr>
      </w:pPr>
      <w:r w:rsidRPr="00FE2DEE">
        <w:rPr>
          <w:rFonts w:ascii="宋体" w:hAnsi="宋体" w:cs="宋体" w:hint="eastAsia"/>
          <w:color w:val="101010"/>
          <w:kern w:val="0"/>
          <w:szCs w:val="21"/>
        </w:rPr>
        <w:t> </w:t>
      </w:r>
      <w:r w:rsidRPr="00FE2DEE">
        <w:rPr>
          <w:rFonts w:ascii="宋体" w:hAnsi="宋体" w:cs="宋体" w:hint="eastAsia"/>
          <w:b/>
          <w:bCs/>
          <w:color w:val="101010"/>
          <w:kern w:val="0"/>
          <w:szCs w:val="21"/>
        </w:rPr>
        <w:t>吉社科规划通字[2015] 08号</w:t>
      </w:r>
      <w:r w:rsidRPr="00FE2DEE">
        <w:rPr>
          <w:rFonts w:ascii="宋体" w:hAnsi="宋体" w:cs="宋体" w:hint="eastAsia"/>
          <w:color w:val="101010"/>
          <w:kern w:val="0"/>
          <w:szCs w:val="21"/>
        </w:rPr>
        <w:t> </w:t>
      </w:r>
    </w:p>
    <w:p w:rsidR="00FE2DEE" w:rsidRPr="00FE2DEE" w:rsidRDefault="00FE2DEE" w:rsidP="00FE2DEE">
      <w:pPr>
        <w:widowControl/>
        <w:spacing w:line="330" w:lineRule="atLeast"/>
        <w:jc w:val="center"/>
        <w:rPr>
          <w:rFonts w:ascii="宋体" w:hAnsi="宋体" w:cs="宋体" w:hint="eastAsia"/>
          <w:color w:val="101010"/>
          <w:kern w:val="0"/>
          <w:sz w:val="20"/>
          <w:szCs w:val="20"/>
        </w:rPr>
      </w:pPr>
      <w:r w:rsidRPr="00FE2DEE">
        <w:rPr>
          <w:rFonts w:ascii="宋体" w:hAnsi="宋体" w:cs="宋体" w:hint="eastAsia"/>
          <w:color w:val="101010"/>
          <w:kern w:val="0"/>
          <w:sz w:val="20"/>
          <w:szCs w:val="20"/>
        </w:rPr>
        <w:pict>
          <v:rect id="_x0000_i1025" style="width:373.75pt;height:.75pt" o:hrpct="900" o:hralign="center" o:hrstd="t" o:hrnoshade="t" o:hr="t" fillcolor="#bbb" stroked="f"/>
        </w:pic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b/>
          <w:bCs/>
          <w:color w:val="101010"/>
          <w:kern w:val="0"/>
          <w:szCs w:val="21"/>
        </w:rPr>
        <w:t> </w:t>
      </w:r>
      <w:r w:rsidRPr="00FE2DEE">
        <w:rPr>
          <w:rFonts w:ascii="宋体" w:hAnsi="宋体" w:cs="宋体" w:hint="eastAsia"/>
          <w:color w:val="101010"/>
          <w:kern w:val="0"/>
          <w:szCs w:val="21"/>
        </w:rPr>
        <w:t> </w:t>
      </w:r>
    </w:p>
    <w:p w:rsidR="00FE2DEE" w:rsidRPr="00FE2DEE" w:rsidRDefault="00FE2DEE" w:rsidP="00FE2DEE">
      <w:pPr>
        <w:widowControl/>
        <w:spacing w:line="330" w:lineRule="atLeast"/>
        <w:jc w:val="center"/>
        <w:rPr>
          <w:rFonts w:ascii="宋体" w:hAnsi="宋体" w:cs="宋体" w:hint="eastAsia"/>
          <w:color w:val="101010"/>
          <w:kern w:val="0"/>
          <w:szCs w:val="21"/>
        </w:rPr>
      </w:pPr>
      <w:r w:rsidRPr="00FE2DEE">
        <w:rPr>
          <w:rFonts w:ascii="宋体" w:hAnsi="宋体" w:cs="宋体" w:hint="eastAsia"/>
          <w:b/>
          <w:bCs/>
          <w:color w:val="101010"/>
          <w:kern w:val="0"/>
          <w:sz w:val="27"/>
          <w:szCs w:val="27"/>
        </w:rPr>
        <w:t>关于吉林省社会科学基金项目</w:t>
      </w:r>
    </w:p>
    <w:p w:rsidR="00FE2DEE" w:rsidRPr="00FE2DEE" w:rsidRDefault="00FE2DEE" w:rsidP="00FE2DEE">
      <w:pPr>
        <w:widowControl/>
        <w:spacing w:line="330" w:lineRule="atLeast"/>
        <w:jc w:val="center"/>
        <w:rPr>
          <w:rFonts w:ascii="宋体" w:hAnsi="宋体" w:cs="宋体" w:hint="eastAsia"/>
          <w:color w:val="101010"/>
          <w:kern w:val="0"/>
          <w:szCs w:val="21"/>
        </w:rPr>
      </w:pPr>
      <w:r w:rsidRPr="00FE2DEE">
        <w:rPr>
          <w:rFonts w:ascii="宋体" w:hAnsi="宋体" w:cs="宋体" w:hint="eastAsia"/>
          <w:b/>
          <w:bCs/>
          <w:color w:val="101010"/>
          <w:kern w:val="0"/>
          <w:sz w:val="27"/>
          <w:szCs w:val="27"/>
        </w:rPr>
        <w:t> </w:t>
      </w:r>
    </w:p>
    <w:p w:rsidR="00FE2DEE" w:rsidRPr="00FE2DEE" w:rsidRDefault="00FE2DEE" w:rsidP="00FE2DEE">
      <w:pPr>
        <w:widowControl/>
        <w:spacing w:line="330" w:lineRule="atLeast"/>
        <w:jc w:val="center"/>
        <w:rPr>
          <w:rFonts w:ascii="宋体" w:hAnsi="宋体" w:cs="宋体" w:hint="eastAsia"/>
          <w:color w:val="101010"/>
          <w:kern w:val="0"/>
          <w:szCs w:val="21"/>
        </w:rPr>
      </w:pPr>
      <w:r w:rsidRPr="00FE2DEE">
        <w:rPr>
          <w:rFonts w:ascii="宋体" w:hAnsi="宋体" w:cs="宋体" w:hint="eastAsia"/>
          <w:b/>
          <w:bCs/>
          <w:color w:val="101010"/>
          <w:kern w:val="0"/>
          <w:sz w:val="27"/>
          <w:szCs w:val="27"/>
        </w:rPr>
        <w:t>2016年度申报工作的通知</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各社会科学研究单位：</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2016年是《吉林省社会科学研究“十三五”规划纲要》制定实施的第一个年份，是开局起步之年。根据年度专项基金数额情况以及开好局、起好步的实际工作需要，省社科基金在立项工作上将做相应的谋划布局。</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一、立项指导思想</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2016年度立项工作坚持以邓小平理论、“三个代表”重要思想、科学发展观为指导，深入贯彻落实十八大以来中央及我省的重大战略部署，充分发挥哲学社会科学“思想库”、“智囊团”、“智库”的作用，为科学决策、理论创新和实践发展服务。</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二、立项基本原则</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侧重实际应用研究，突出对策性、前瞻性问题研究，适度布局基础研究，加强地方经济社会发展重要领域的布局研究，继续扶持青年学者。</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三、立项种类及选题要求</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1、立项种类。2016年度省社科基金立项种类分为重点项目、一般自选项目、博士扶持项目、研究基地项目、马工程专项五类。</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2、重点项目的选题原则。选题要紧密结合十八大以来中央及我省的重大战略部署，紧密结合我省经济社会发展实际需要和省委省政府科学决策需要，紧密结合我省经济社会发展“十三五”规划建议，着重选择重大理论、重大现实、重大前沿问题进行论证申报。可按照上述选题原则进行自主拟题自愿申报。</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3、一般自选项目和博士扶持项目的选题原则。坚持理论创新，侧重理论联系实际，紧密结合我省经济社会发展的实际需要，在社会生产、生活、科研和教学等前沿领域中提炼研究</w:t>
      </w:r>
      <w:r w:rsidRPr="00FE2DEE">
        <w:rPr>
          <w:rFonts w:ascii="宋体" w:hAnsi="宋体" w:cs="宋体" w:hint="eastAsia"/>
          <w:color w:val="101010"/>
          <w:kern w:val="0"/>
          <w:szCs w:val="21"/>
        </w:rPr>
        <w:lastRenderedPageBreak/>
        <w:t>选题。倡导和侧重支持选题研究成果具有针对性转化目标的实际应用研究，决策咨询类研究。符合申报条件的申报人依据选题原则要求进行自拟选题自愿申报。</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4、研究基地项目。研究基地项目是指经批准运行中的吉林省特色文化研究基地和吉林省社会科学重点领域研究基地年度滚动项目。有空余滚动项目名额的研究基地，方可由研究基地负责人按照1比1的比例自主确定选题及申报人进行论证申报。申报材料由专家评审确定立项。未被通过评审的立项名额推迟下一年度重新申报。</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5、马工程专项的立项申报工作另发《申报工作通知》。届时可在“吉林社科规划”网站上查询申报。</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四、成果形式及研究期限</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申报课题的最终成果形式分为三类：系列化论文、研究报告和著作类。申报人可根据选题研究内容自择其一填报。</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基础类研究要求以系列化论文或著作类为主。系列化论文要求课题负责人及课题组成员在公开刊物上发表课题研究内容论文5篇以上（含5篇），其中至少有2篇为核心期刊，研究期限一般为2年左右。著作类成果要求15万字以上，研究期限一般为3年左右。</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研究报告限定在应用对策类选题的最终成果形式上使用。研究报告需完成3万字以上，成果提要3000字左右，研究期限一般为1年半左右。</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研究期限可根据选题的科研工作量自主选择准确时间填报，“左右”时限原则上不得超过半年。申报选题经审批立项后完成时限不得随意改动，无极特殊原因必须按原计划时间完成。</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最终成果形式须慎重选择，经审批立项后不得改动，否则按《吉林省社会科学基金项目管理办法》相关规定处理。</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申报选题经审批立项后，课题研究过程中的相关工作，按照《吉林省社会科学基金项目管理办法》进行日常管理。</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五、立项数量及资助经费</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1、重点项目立项数量为20项，每项平均资助3.5万元。</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2、一般自选项目立项数量为150项，每项平均资助1.5万元。</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3、博士扶持项目立项数量为50项。每项平均资助1.0万元。</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4、研究基地项目每项资助1.0万元。</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5、马工程专项的立项数量及资助经费详见《马工程专项申报工作通知》。</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六、申报要求及申报时间</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1、上述各类项目的申报人应为吉林省在职人员。符合条件的申报人在上述立项种类中只限选择一类、一个选题进行申报。重复多项申报者申报材料按作废材料处理，申报者记入无信誉名单。省和国家社科基金项目可同时兼报。</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2、2016年度省社科基金项目《申报书》及《活页》（2016年1月重新修订），请申报人到“吉林社科规划”网站（www.jlpopss.gov.cn）“下载中心” 栏目查询下载填写。上述各类项目的申报需填写《申报书》一式3份及《活页》一式6份。申报人不得使用旧有《申报书》及《活页》，违者按作废材料处理。</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3、申报人要严格按照《申报书》中的“填表说明”进行如实操作，否则不予受理。</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4、正在承担省或国家社科基金项目的负责人不得申报，课题组成员不限。</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5、博士扶持项目的申报人，要求属于吉林省在职博士学位人员或在职在读博士研究生，其中已经具有副高级及以上专业技术职称者不得申报此类项目。</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lastRenderedPageBreak/>
        <w:t>  6、申报人选题设计论证、报送申报材料时间期限为，从现在起至2016年3月31日止，逾期不再受理。4月8日前由各申报单位经审核录入数据后统一将申报材料报送我办。申报人</w:t>
      </w:r>
      <w:proofErr w:type="gramStart"/>
      <w:r w:rsidRPr="00FE2DEE">
        <w:rPr>
          <w:rFonts w:ascii="宋体" w:hAnsi="宋体" w:cs="宋体" w:hint="eastAsia"/>
          <w:color w:val="101010"/>
          <w:kern w:val="0"/>
          <w:szCs w:val="21"/>
        </w:rPr>
        <w:t>无科研</w:t>
      </w:r>
      <w:proofErr w:type="gramEnd"/>
      <w:r w:rsidRPr="00FE2DEE">
        <w:rPr>
          <w:rFonts w:ascii="宋体" w:hAnsi="宋体" w:cs="宋体" w:hint="eastAsia"/>
          <w:color w:val="101010"/>
          <w:kern w:val="0"/>
          <w:szCs w:val="21"/>
        </w:rPr>
        <w:t>管理单位的可直接报送我办。</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7、上述各类项目的申报立项工作不收取任何费用。</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七、评审方式及评审时间</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1、以上各类项目的申报材料由省内或省外同行专家对其进行初评和复评确定拟立项人选，上报审批后立项。</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2、申报材料评审时间约在2016年4月中下旬。</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八、申报工作联系方式</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吉林省社科规划办联系人张林祥，电话：0431-88904099；QQ群号：12395329。</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附：吉林省社会科学研究“十三五”规划学科分类</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吉林省哲学社会科学规划基金办公室</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ind w:firstLineChars="50" w:firstLine="105"/>
        <w:jc w:val="left"/>
        <w:rPr>
          <w:rFonts w:ascii="宋体" w:hAnsi="宋体" w:cs="宋体" w:hint="eastAsia"/>
          <w:color w:val="101010"/>
          <w:kern w:val="0"/>
          <w:szCs w:val="21"/>
        </w:rPr>
      </w:pPr>
      <w:r w:rsidRPr="00FE2DEE">
        <w:rPr>
          <w:rFonts w:ascii="宋体" w:hAnsi="宋体" w:cs="宋体" w:hint="eastAsia"/>
          <w:color w:val="101010"/>
          <w:kern w:val="0"/>
          <w:szCs w:val="21"/>
        </w:rPr>
        <w:t xml:space="preserve">                                   2015年12月24日</w:t>
      </w:r>
    </w:p>
    <w:p w:rsid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Default="00FE2DEE" w:rsidP="00FE2DEE">
      <w:pPr>
        <w:widowControl/>
        <w:spacing w:line="330" w:lineRule="atLeast"/>
        <w:jc w:val="left"/>
        <w:rPr>
          <w:rFonts w:ascii="宋体" w:hAnsi="宋体" w:cs="宋体" w:hint="eastAsia"/>
          <w:color w:val="101010"/>
          <w:kern w:val="0"/>
          <w:szCs w:val="21"/>
        </w:rPr>
      </w:pPr>
    </w:p>
    <w:p w:rsidR="00FE2DEE" w:rsidRPr="00FE2DEE" w:rsidRDefault="00FE2DEE" w:rsidP="00FE2DEE">
      <w:pPr>
        <w:widowControl/>
        <w:spacing w:line="330" w:lineRule="atLeast"/>
        <w:jc w:val="left"/>
        <w:rPr>
          <w:rFonts w:ascii="宋体" w:hAnsi="宋体" w:cs="宋体" w:hint="eastAsia"/>
          <w:color w:val="101010"/>
          <w:kern w:val="0"/>
          <w:szCs w:val="21"/>
        </w:rPr>
      </w:pPr>
      <w:bookmarkStart w:id="0" w:name="_GoBack"/>
      <w:bookmarkEnd w:id="0"/>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lastRenderedPageBreak/>
        <w:t>附：</w:t>
      </w:r>
    </w:p>
    <w:p w:rsidR="00FE2DEE" w:rsidRPr="00FE2DEE" w:rsidRDefault="00FE2DEE" w:rsidP="00FE2DEE">
      <w:pPr>
        <w:widowControl/>
        <w:spacing w:line="330" w:lineRule="atLeast"/>
        <w:jc w:val="center"/>
        <w:rPr>
          <w:rFonts w:ascii="宋体" w:hAnsi="宋体" w:cs="宋体" w:hint="eastAsia"/>
          <w:color w:val="101010"/>
          <w:kern w:val="0"/>
          <w:szCs w:val="21"/>
        </w:rPr>
      </w:pPr>
      <w:r w:rsidRPr="00FE2DEE">
        <w:rPr>
          <w:rFonts w:ascii="宋体" w:hAnsi="宋体" w:cs="宋体" w:hint="eastAsia"/>
          <w:color w:val="101010"/>
          <w:kern w:val="0"/>
          <w:szCs w:val="21"/>
        </w:rPr>
        <w:t>吉林省社会科学研究“十三五”规划学科分类</w:t>
      </w:r>
    </w:p>
    <w:p w:rsidR="00FE2DEE" w:rsidRPr="00FE2DEE" w:rsidRDefault="00FE2DEE" w:rsidP="00FE2DEE">
      <w:pPr>
        <w:widowControl/>
        <w:spacing w:line="330" w:lineRule="atLeast"/>
        <w:jc w:val="center"/>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center"/>
        <w:rPr>
          <w:rFonts w:ascii="宋体" w:hAnsi="宋体" w:cs="宋体" w:hint="eastAsia"/>
          <w:color w:val="101010"/>
          <w:kern w:val="0"/>
          <w:szCs w:val="21"/>
        </w:rPr>
      </w:pPr>
      <w:r w:rsidRPr="00FE2DEE">
        <w:rPr>
          <w:rFonts w:ascii="宋体" w:hAnsi="宋体" w:cs="宋体" w:hint="eastAsia"/>
          <w:color w:val="101010"/>
          <w:kern w:val="0"/>
          <w:szCs w:val="21"/>
        </w:rPr>
        <w:t>（暂定学科领域）</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2"/>
        <w:gridCol w:w="819"/>
        <w:gridCol w:w="7061"/>
      </w:tblGrid>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序 号</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学科名称</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内含相关学科</w:t>
            </w:r>
            <w:proofErr w:type="gramStart"/>
            <w:r w:rsidRPr="00FE2DEE">
              <w:rPr>
                <w:rFonts w:ascii="宋体" w:hAnsi="宋体" w:cs="宋体" w:hint="eastAsia"/>
                <w:kern w:val="0"/>
                <w:sz w:val="20"/>
                <w:szCs w:val="20"/>
              </w:rPr>
              <w:t>及领域</w:t>
            </w:r>
            <w:proofErr w:type="gramEnd"/>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1</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政治学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中共党史党建、马克思主义理论、科学社会主义、思想政治教育、国际关系学、外交学等。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2</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哲学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逻辑学、伦理学、美学、宗教学、科学技术哲学等。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3</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理论经济学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hyperlink r:id="rId9" w:history="1">
              <w:r w:rsidRPr="00FE2DEE">
                <w:rPr>
                  <w:rFonts w:ascii="宋体" w:hAnsi="宋体" w:cs="宋体" w:hint="eastAsia"/>
                  <w:color w:val="333333"/>
                  <w:kern w:val="0"/>
                  <w:sz w:val="20"/>
                  <w:szCs w:val="20"/>
                </w:rPr>
                <w:t>经济史</w:t>
              </w:r>
            </w:hyperlink>
            <w:r w:rsidRPr="00FE2DEE">
              <w:rPr>
                <w:rFonts w:ascii="宋体" w:hAnsi="宋体" w:cs="宋体" w:hint="eastAsia"/>
                <w:kern w:val="0"/>
                <w:sz w:val="20"/>
                <w:szCs w:val="20"/>
              </w:rPr>
              <w:t>、经济学说史、</w:t>
            </w:r>
            <w:hyperlink r:id="rId10" w:history="1">
              <w:r w:rsidRPr="00FE2DEE">
                <w:rPr>
                  <w:rFonts w:ascii="宋体" w:hAnsi="宋体" w:cs="宋体" w:hint="eastAsia"/>
                  <w:color w:val="333333"/>
                  <w:kern w:val="0"/>
                  <w:sz w:val="20"/>
                  <w:szCs w:val="20"/>
                </w:rPr>
                <w:t>经济思想史</w:t>
              </w:r>
            </w:hyperlink>
            <w:r w:rsidRPr="00FE2DEE">
              <w:rPr>
                <w:rFonts w:ascii="宋体" w:hAnsi="宋体" w:cs="宋体" w:hint="eastAsia"/>
                <w:kern w:val="0"/>
                <w:sz w:val="20"/>
                <w:szCs w:val="20"/>
              </w:rPr>
              <w:t>、</w:t>
            </w:r>
            <w:hyperlink r:id="rId11" w:history="1">
              <w:r w:rsidRPr="00FE2DEE">
                <w:rPr>
                  <w:rFonts w:ascii="宋体" w:hAnsi="宋体" w:cs="宋体" w:hint="eastAsia"/>
                  <w:color w:val="333333"/>
                  <w:kern w:val="0"/>
                  <w:sz w:val="20"/>
                  <w:szCs w:val="20"/>
                </w:rPr>
                <w:t>政治经济学</w:t>
              </w:r>
            </w:hyperlink>
            <w:r w:rsidRPr="00FE2DEE">
              <w:rPr>
                <w:rFonts w:ascii="宋体" w:hAnsi="宋体" w:cs="宋体" w:hint="eastAsia"/>
                <w:kern w:val="0"/>
                <w:sz w:val="20"/>
                <w:szCs w:val="20"/>
              </w:rPr>
              <w:t>、</w:t>
            </w:r>
            <w:hyperlink r:id="rId12" w:history="1">
              <w:r w:rsidRPr="00FE2DEE">
                <w:rPr>
                  <w:rFonts w:ascii="宋体" w:hAnsi="宋体" w:cs="宋体" w:hint="eastAsia"/>
                  <w:color w:val="333333"/>
                  <w:kern w:val="0"/>
                  <w:sz w:val="20"/>
                  <w:szCs w:val="20"/>
                </w:rPr>
                <w:t>西方经济学</w:t>
              </w:r>
            </w:hyperlink>
            <w:r w:rsidRPr="00FE2DEE">
              <w:rPr>
                <w:rFonts w:ascii="宋体" w:hAnsi="宋体" w:cs="宋体" w:hint="eastAsia"/>
                <w:kern w:val="0"/>
                <w:sz w:val="20"/>
                <w:szCs w:val="20"/>
              </w:rPr>
              <w:t>、</w:t>
            </w:r>
            <w:hyperlink r:id="rId13" w:history="1">
              <w:r w:rsidRPr="00FE2DEE">
                <w:rPr>
                  <w:rFonts w:ascii="宋体" w:hAnsi="宋体" w:cs="宋体" w:hint="eastAsia"/>
                  <w:color w:val="333333"/>
                  <w:kern w:val="0"/>
                  <w:sz w:val="20"/>
                  <w:szCs w:val="20"/>
                </w:rPr>
                <w:t>世界经济</w:t>
              </w:r>
            </w:hyperlink>
            <w:r w:rsidRPr="00FE2DEE">
              <w:rPr>
                <w:rFonts w:ascii="宋体" w:hAnsi="宋体" w:cs="宋体" w:hint="eastAsia"/>
                <w:kern w:val="0"/>
                <w:sz w:val="20"/>
                <w:szCs w:val="20"/>
              </w:rPr>
              <w:t>学、宏微观经济学等。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4</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应用经济学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国民经济、行业经济、区域经济、国际经济贸易等。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5</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管理学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工商管理学、公共管理学、行政管理学、图书馆学、情报学、档案学、企业经营管理等。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6</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法学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行政法学、刑法学、经济法学、国际法学、军事法学等。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7</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社会学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社会保障学、人口学、人类学、民俗学、民族学等。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8</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教育学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教育史、教学论、德育原理、人才学、心理学等。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9</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体育学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体育史学、体育经济学、体育产业学、体育法学、体育心理学、体育人才学、体育社会学、体育美学等。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10</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汉语文学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民间文学、新闻传播学、艺术学、电影学、舞蹈学、文学文化等。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11</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历史学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考古学、博物馆学、世界史学、历史文化等。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12</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外国语言学</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英语、法语、俄语、日语、德语、外国文学等。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13</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东北亚问题</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高句丽渤海问题、俄罗斯问题、朝鲜问题、日本问题、韩国问题等。</w:t>
            </w:r>
          </w:p>
        </w:tc>
      </w:tr>
      <w:tr w:rsidR="00FE2DEE" w:rsidRPr="00FE2DEE" w:rsidTr="00FE2DEE">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14</w:t>
            </w:r>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proofErr w:type="gramStart"/>
            <w:r w:rsidRPr="00FE2DEE">
              <w:rPr>
                <w:rFonts w:ascii="宋体" w:hAnsi="宋体" w:cs="宋体" w:hint="eastAsia"/>
                <w:kern w:val="0"/>
                <w:sz w:val="20"/>
                <w:szCs w:val="20"/>
              </w:rPr>
              <w:t>长吉图问题</w:t>
            </w:r>
            <w:proofErr w:type="gramEnd"/>
          </w:p>
        </w:tc>
        <w:tc>
          <w:tcPr>
            <w:tcW w:w="0" w:type="auto"/>
            <w:tcBorders>
              <w:top w:val="outset" w:sz="6" w:space="0" w:color="auto"/>
              <w:left w:val="outset" w:sz="6" w:space="0" w:color="auto"/>
              <w:bottom w:val="outset" w:sz="6" w:space="0" w:color="auto"/>
              <w:right w:val="outset" w:sz="6" w:space="0" w:color="auto"/>
            </w:tcBorders>
            <w:hideMark/>
          </w:tcPr>
          <w:p w:rsidR="00FE2DEE" w:rsidRPr="00FE2DEE" w:rsidRDefault="00FE2DEE" w:rsidP="00FE2DEE">
            <w:pPr>
              <w:widowControl/>
              <w:jc w:val="left"/>
              <w:rPr>
                <w:rFonts w:ascii="宋体" w:hAnsi="宋体" w:cs="宋体"/>
                <w:kern w:val="0"/>
                <w:sz w:val="20"/>
                <w:szCs w:val="20"/>
              </w:rPr>
            </w:pPr>
            <w:r w:rsidRPr="00FE2DEE">
              <w:rPr>
                <w:rFonts w:ascii="宋体" w:hAnsi="宋体" w:cs="宋体" w:hint="eastAsia"/>
                <w:kern w:val="0"/>
                <w:sz w:val="20"/>
                <w:szCs w:val="20"/>
              </w:rPr>
              <w:t>长吉图发展战略，与长吉图开发开放相关领域的问题。</w:t>
            </w:r>
          </w:p>
        </w:tc>
      </w:tr>
    </w:tbl>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FE2DEE" w:rsidRPr="00FE2DEE" w:rsidRDefault="00FE2DEE" w:rsidP="00FE2DEE">
      <w:pPr>
        <w:widowControl/>
        <w:spacing w:line="330" w:lineRule="atLeast"/>
        <w:jc w:val="left"/>
        <w:rPr>
          <w:rFonts w:ascii="宋体" w:hAnsi="宋体" w:cs="宋体" w:hint="eastAsia"/>
          <w:color w:val="101010"/>
          <w:kern w:val="0"/>
          <w:szCs w:val="21"/>
        </w:rPr>
      </w:pPr>
      <w:r w:rsidRPr="00FE2DEE">
        <w:rPr>
          <w:rFonts w:ascii="宋体" w:hAnsi="宋体" w:cs="宋体" w:hint="eastAsia"/>
          <w:color w:val="101010"/>
          <w:kern w:val="0"/>
          <w:szCs w:val="21"/>
        </w:rPr>
        <w:t> </w:t>
      </w:r>
    </w:p>
    <w:p w:rsidR="007B19BB" w:rsidRPr="00FE2DEE" w:rsidRDefault="007B19BB"/>
    <w:sectPr w:rsidR="007B19BB" w:rsidRPr="00FE2D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590" w:rsidRDefault="00512590" w:rsidP="00FE2DEE">
      <w:r>
        <w:separator/>
      </w:r>
    </w:p>
  </w:endnote>
  <w:endnote w:type="continuationSeparator" w:id="0">
    <w:p w:rsidR="00512590" w:rsidRDefault="00512590" w:rsidP="00FE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590" w:rsidRDefault="00512590" w:rsidP="00FE2DEE">
      <w:r>
        <w:separator/>
      </w:r>
    </w:p>
  </w:footnote>
  <w:footnote w:type="continuationSeparator" w:id="0">
    <w:p w:rsidR="00512590" w:rsidRDefault="00512590" w:rsidP="00FE2D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D15"/>
    <w:rsid w:val="003A7A9E"/>
    <w:rsid w:val="00512590"/>
    <w:rsid w:val="00745D79"/>
    <w:rsid w:val="007B19BB"/>
    <w:rsid w:val="00875F1E"/>
    <w:rsid w:val="00A33D15"/>
    <w:rsid w:val="00B34160"/>
    <w:rsid w:val="00F158E5"/>
    <w:rsid w:val="00FE2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E2D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E2DEE"/>
    <w:rPr>
      <w:kern w:val="2"/>
      <w:sz w:val="18"/>
      <w:szCs w:val="18"/>
    </w:rPr>
  </w:style>
  <w:style w:type="paragraph" w:styleId="a4">
    <w:name w:val="footer"/>
    <w:basedOn w:val="a"/>
    <w:link w:val="Char0"/>
    <w:rsid w:val="00FE2DEE"/>
    <w:pPr>
      <w:tabs>
        <w:tab w:val="center" w:pos="4153"/>
        <w:tab w:val="right" w:pos="8306"/>
      </w:tabs>
      <w:snapToGrid w:val="0"/>
      <w:jc w:val="left"/>
    </w:pPr>
    <w:rPr>
      <w:sz w:val="18"/>
      <w:szCs w:val="18"/>
    </w:rPr>
  </w:style>
  <w:style w:type="character" w:customStyle="1" w:styleId="Char0">
    <w:name w:val="页脚 Char"/>
    <w:basedOn w:val="a0"/>
    <w:link w:val="a4"/>
    <w:rsid w:val="00FE2DEE"/>
    <w:rPr>
      <w:kern w:val="2"/>
      <w:sz w:val="18"/>
      <w:szCs w:val="18"/>
    </w:rPr>
  </w:style>
  <w:style w:type="character" w:customStyle="1" w:styleId="apple-converted-space">
    <w:name w:val="apple-converted-space"/>
    <w:basedOn w:val="a0"/>
    <w:rsid w:val="00FE2DEE"/>
  </w:style>
  <w:style w:type="character" w:styleId="a5">
    <w:name w:val="Hyperlink"/>
    <w:basedOn w:val="a0"/>
    <w:uiPriority w:val="99"/>
    <w:unhideWhenUsed/>
    <w:rsid w:val="00FE2DEE"/>
    <w:rPr>
      <w:color w:val="0000FF"/>
      <w:u w:val="single"/>
    </w:rPr>
  </w:style>
  <w:style w:type="paragraph" w:styleId="a6">
    <w:name w:val="Normal (Web)"/>
    <w:basedOn w:val="a"/>
    <w:uiPriority w:val="99"/>
    <w:unhideWhenUsed/>
    <w:rsid w:val="00FE2DEE"/>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FE2DEE"/>
    <w:rPr>
      <w:b/>
      <w:bCs/>
    </w:rPr>
  </w:style>
  <w:style w:type="paragraph" w:styleId="a8">
    <w:name w:val="Balloon Text"/>
    <w:basedOn w:val="a"/>
    <w:link w:val="Char1"/>
    <w:rsid w:val="00FE2DEE"/>
    <w:rPr>
      <w:sz w:val="18"/>
      <w:szCs w:val="18"/>
    </w:rPr>
  </w:style>
  <w:style w:type="character" w:customStyle="1" w:styleId="Char1">
    <w:name w:val="批注框文本 Char"/>
    <w:basedOn w:val="a0"/>
    <w:link w:val="a8"/>
    <w:rsid w:val="00FE2DE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E2D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E2DEE"/>
    <w:rPr>
      <w:kern w:val="2"/>
      <w:sz w:val="18"/>
      <w:szCs w:val="18"/>
    </w:rPr>
  </w:style>
  <w:style w:type="paragraph" w:styleId="a4">
    <w:name w:val="footer"/>
    <w:basedOn w:val="a"/>
    <w:link w:val="Char0"/>
    <w:rsid w:val="00FE2DEE"/>
    <w:pPr>
      <w:tabs>
        <w:tab w:val="center" w:pos="4153"/>
        <w:tab w:val="right" w:pos="8306"/>
      </w:tabs>
      <w:snapToGrid w:val="0"/>
      <w:jc w:val="left"/>
    </w:pPr>
    <w:rPr>
      <w:sz w:val="18"/>
      <w:szCs w:val="18"/>
    </w:rPr>
  </w:style>
  <w:style w:type="character" w:customStyle="1" w:styleId="Char0">
    <w:name w:val="页脚 Char"/>
    <w:basedOn w:val="a0"/>
    <w:link w:val="a4"/>
    <w:rsid w:val="00FE2DEE"/>
    <w:rPr>
      <w:kern w:val="2"/>
      <w:sz w:val="18"/>
      <w:szCs w:val="18"/>
    </w:rPr>
  </w:style>
  <w:style w:type="character" w:customStyle="1" w:styleId="apple-converted-space">
    <w:name w:val="apple-converted-space"/>
    <w:basedOn w:val="a0"/>
    <w:rsid w:val="00FE2DEE"/>
  </w:style>
  <w:style w:type="character" w:styleId="a5">
    <w:name w:val="Hyperlink"/>
    <w:basedOn w:val="a0"/>
    <w:uiPriority w:val="99"/>
    <w:unhideWhenUsed/>
    <w:rsid w:val="00FE2DEE"/>
    <w:rPr>
      <w:color w:val="0000FF"/>
      <w:u w:val="single"/>
    </w:rPr>
  </w:style>
  <w:style w:type="paragraph" w:styleId="a6">
    <w:name w:val="Normal (Web)"/>
    <w:basedOn w:val="a"/>
    <w:uiPriority w:val="99"/>
    <w:unhideWhenUsed/>
    <w:rsid w:val="00FE2DEE"/>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FE2DEE"/>
    <w:rPr>
      <w:b/>
      <w:bCs/>
    </w:rPr>
  </w:style>
  <w:style w:type="paragraph" w:styleId="a8">
    <w:name w:val="Balloon Text"/>
    <w:basedOn w:val="a"/>
    <w:link w:val="Char1"/>
    <w:rsid w:val="00FE2DEE"/>
    <w:rPr>
      <w:sz w:val="18"/>
      <w:szCs w:val="18"/>
    </w:rPr>
  </w:style>
  <w:style w:type="character" w:customStyle="1" w:styleId="Char1">
    <w:name w:val="批注框文本 Char"/>
    <w:basedOn w:val="a0"/>
    <w:link w:val="a8"/>
    <w:rsid w:val="00FE2DE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325226">
      <w:bodyDiv w:val="1"/>
      <w:marLeft w:val="0"/>
      <w:marRight w:val="0"/>
      <w:marTop w:val="0"/>
      <w:marBottom w:val="0"/>
      <w:divBdr>
        <w:top w:val="none" w:sz="0" w:space="0" w:color="auto"/>
        <w:left w:val="none" w:sz="0" w:space="0" w:color="auto"/>
        <w:bottom w:val="none" w:sz="0" w:space="0" w:color="auto"/>
        <w:right w:val="none" w:sz="0" w:space="0" w:color="auto"/>
      </w:divBdr>
      <w:divsChild>
        <w:div w:id="1632976222">
          <w:marLeft w:val="0"/>
          <w:marRight w:val="0"/>
          <w:marTop w:val="75"/>
          <w:marBottom w:val="75"/>
          <w:divBdr>
            <w:top w:val="none" w:sz="0" w:space="0" w:color="auto"/>
            <w:left w:val="none" w:sz="0" w:space="0" w:color="auto"/>
            <w:bottom w:val="none" w:sz="0" w:space="0" w:color="auto"/>
            <w:right w:val="none" w:sz="0" w:space="0" w:color="auto"/>
          </w:divBdr>
        </w:div>
        <w:div w:id="1909917619">
          <w:marLeft w:val="0"/>
          <w:marRight w:val="0"/>
          <w:marTop w:val="30"/>
          <w:marBottom w:val="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lib.utsz.edu.cn/viewChannel.jsp?channel=1087" TargetMode="External"/><Relationship Id="rId3" Type="http://schemas.openxmlformats.org/officeDocument/2006/relationships/settings" Target="settings.xml"/><Relationship Id="rId7" Type="http://schemas.openxmlformats.org/officeDocument/2006/relationships/hyperlink" Target="http://www.jlpopss.gov.cn/Print.aspx?id=2503" TargetMode="External"/><Relationship Id="rId12" Type="http://schemas.openxmlformats.org/officeDocument/2006/relationships/hyperlink" Target="http://lib.utsz.edu.cn/viewChannel.jsp?channel=1088"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lib.utsz.edu.cn/viewChannel.jsp?channel=108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lib.utsz.edu.cn/viewChannel.jsp?channel=1086" TargetMode="External"/><Relationship Id="rId4" Type="http://schemas.openxmlformats.org/officeDocument/2006/relationships/webSettings" Target="webSettings.xml"/><Relationship Id="rId9" Type="http://schemas.openxmlformats.org/officeDocument/2006/relationships/hyperlink" Target="http://lib.utsz.edu.cn/viewChannel.jsp?channel=1085"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536</Words>
  <Characters>3060</Characters>
  <Application>Microsoft Office Word</Application>
  <DocSecurity>0</DocSecurity>
  <Lines>25</Lines>
  <Paragraphs>7</Paragraphs>
  <ScaleCrop>false</ScaleCrop>
  <Company>长春中医药大学</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2015-12-25T02:32:00Z</dcterms:created>
  <dcterms:modified xsi:type="dcterms:W3CDTF">2015-12-25T02:33:00Z</dcterms:modified>
</cp:coreProperties>
</file>